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      </w:t>
      </w:r>
    </w:p>
    <w:p>
      <w:pPr>
        <w:pStyle w:val="Βασικό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Ξενόγλωσσες  εργασίες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rtl w:val="0"/>
          <w:lang w:val="en-US"/>
        </w:rPr>
        <w:t xml:space="preserve">δημοσιεύσεις </w:t>
      </w:r>
      <w:r>
        <w:rPr>
          <w:b w:val="1"/>
          <w:bCs w:val="1"/>
          <w:rtl w:val="0"/>
          <w:lang w:val="en-US"/>
        </w:rPr>
        <w:t>.</w:t>
      </w:r>
    </w:p>
    <w:p>
      <w:pPr>
        <w:pStyle w:val="Βασικό"/>
        <w:bidi w:val="0"/>
        <w:spacing w:line="360" w:lineRule="auto"/>
        <w:ind w:left="0" w:right="0" w:firstLine="0"/>
        <w:jc w:val="both"/>
        <w:rPr>
          <w:b w:val="1"/>
          <w:bCs w:val="1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1.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"https://www.ncbi.nlm.nih.gov/pubmed/31826238"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5"/>
          <w:szCs w:val="25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5"/>
          <w:szCs w:val="25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Deep Phenotyping of PDE6C-Associated Achromatopsia.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Georgiou M, Robson AG, Singh N, Pontikos N, Kane T, Hirji N, Ripamonti C, Rotsos T, Dubra A, Kalitzeos A, Webster AR, Carroll J,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Invest Ophthalmol Vis Sci. 2019 Dec 2;60(15):5112-5123. doi: 10.1167/iovs.19-27761.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2. 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instrText xml:space="preserve"> HYPERLINK "https://www.ncbi.nlm.nih.gov/pubmed/31704230"</w:instrTex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separate" w:fldLock="0"/>
      </w:r>
      <w:r>
        <w:rPr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>GUCY2D-Associated Leber Congenital Amaurosis: A Retrospective Natural History Study in Preparation for Trials of Novel Therapies.</w:t>
      </w:r>
      <w:r>
        <w:rPr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Bouzia Z, Georgiou M, Hull S, Robson AG, Fujinami K, Rotsos T, Pontikos N, Arno G, Webster AR, Hardcastle AJ, Fiorentino A,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Am J Ophthalmol. 2019 Nov 5. pii: S0002-9394(19)30515-X. doi: 10.1016/j.ajo.2019.10.019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outline w:val="0"/>
          <w:color w:val="6666aa"/>
          <w:sz w:val="24"/>
          <w:szCs w:val="24"/>
          <w:u w:val="single" w:color="6666aa"/>
          <w:shd w:val="clear" w:color="auto" w:fill="ffffff"/>
          <w14:textFill>
            <w14:solidFill>
              <w14:srgbClr w14:val="6666AA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outline w:val="0"/>
          <w:color w:val="6666aa"/>
          <w:sz w:val="24"/>
          <w:szCs w:val="24"/>
          <w:u w:val="single" w:color="6666aa"/>
          <w:shd w:val="clear" w:color="auto" w:fill="ffffff"/>
          <w14:textFill>
            <w14:solidFill>
              <w14:srgbClr w14:val="6666AA"/>
            </w14:solidFill>
          </w14:textFill>
        </w:rPr>
      </w:pPr>
    </w:p>
    <w:p>
      <w:pPr>
        <w:pStyle w:val="Βασικό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3.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"https://www.ncbi.nlm.nih.gov/pubmed/31661651"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Comparison of Chemokine CXCL-1 and Interleukin-6 Concentrations in the Subretinal Fluid and Vitreous in Rhegmatogenous Retinal Detachment.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Symeonidis C, Rotsos T, Matsou A, Dermenoudi M, Georgalas I, Tsinopoulos I, Makri O, Souliou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Ocul Immunol Inflamm. 2019 Oct 29:1-7. doi: 10.1080/09273948.2019.1672197.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</w:pPr>
      <w:r>
        <w:rPr>
          <w:rFonts w:ascii="Times New Roman" w:hAnsi="Times New Roman"/>
          <w:outline w:val="0"/>
          <w:color w:val="575757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575757"/>
            </w14:solidFill>
          </w14:textFill>
        </w:rPr>
        <w:t xml:space="preserve">2. </w: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instrText xml:space="preserve"> HYPERLINK "https://www.ncbi.nlm.nih.gov/pubmed/31047379"</w:instrTex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separate" w:fldLock="0"/>
      </w:r>
      <w:r>
        <w:rPr>
          <w:rFonts w:ascii="Times New Roman" w:hAnsi="Times New Roman"/>
          <w:outline w:val="0"/>
          <w:color w:val="575757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575757"/>
            </w14:solidFill>
          </w14:textFill>
        </w:rPr>
        <w:t>Three-Year Results of Fluorescein Angiography-Guided Standard Photodynamic Therapy with Multiple Spots for Central Serous Chorioretinopathy.</w:t>
      </w:r>
      <w:r>
        <w:rPr>
          <w:rFonts w:ascii="Times New Roman" w:cs="Times New Roman" w:hAnsi="Times New Roman" w:eastAsia="Times New Roman"/>
          <w:outline w:val="0"/>
          <w:color w:val="575757"/>
          <w:sz w:val="24"/>
          <w:szCs w:val="24"/>
          <w:shd w:val="clear" w:color="auto" w:fill="ffffff"/>
          <w14:textFill>
            <w14:solidFill>
              <w14:srgbClr w14:val="575757"/>
            </w14:solidFill>
          </w14:textFill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Ladas ID, Andreanos KD, Ladas DS, Moschos MM, Rotsos T, Kotsolis AI.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Ophthalmol Retina. 2018 Jul;2(7):703-711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"https://www.ncbi.nlm.nih.gov/pubmed/30025671"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Morning Glory Disc Anomaly in a Child with Esotropia.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Georgalas I, Spyropoulos D, Paraskevopoulos T, Rotsos 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 Pediatr. 2018 Dec;203:458-458.e1.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4. High Astigmatism induced by scleromalacia perforans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Rotsos T, Andreanos KD, Sideri AM, Georgalas I, Droutsas K, Brouzas D, Papaconstantinou 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New Front in Ophthalmol, 2019 Fev, Vol 5: 1-1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"https://www.ncbi.nlm.nih.gov/pubmed/29643787"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Optical Coherence Tomography Angiography of Foveal Neovascularization in Diabetic Retinopathy.</w:t>
      </w:r>
      <w:r>
        <w:rPr>
          <w:sz w:val="24"/>
          <w:szCs w:val="24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Andreanos K, Rotsos T, Kymionis G, Koutsandrea C, Kotsolis A, Ladas 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Ophthalmol. 2018 Jan 29;9(1):87-9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Hyperlink.1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"https://www.ncbi.nlm.nih.gov/pubmed/29487813"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Managing high risk glaucoma with the Ahmed valve implant: 20 years of experience.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Tsioga A, Andreanos K, Diagourtas A, Petrou P, Georgalas I, Papaconstantinou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Int J Ophthalmol. 2018 Feb 18;11(2):240-244. IF 1,177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Hyperlink.1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"https://www.ncbi.nlm.nih.gov/pubmed/28953634"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Multimodal imaging of hypertensive chorioretinopathy by swept-source optical coherence tomography and optical coherence tomography angiography: Case report.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Andreanos K, Blounas S, Brouzas D, Ladas DS, Ladas ID.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Medicine (Baltimore). 2017 Sep;96(39):e8110.</w:t>
      </w:r>
      <w:r>
        <w:rPr>
          <w:rStyle w:val="None"/>
          <w:rtl w:val="0"/>
          <w:lang w:val="pt-PT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IF 1,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803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lang w:val="pt-PT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642a8e"/>
          <w:shd w:val="clear" w:color="auto" w:fill="ffffff"/>
        </w:rPr>
      </w:pPr>
      <w:r>
        <w:rPr>
          <w:rStyle w:val="None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642a8e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"https://www.ncbi.nlm.nih.gov/pubmed/28574138"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Detection of nonexudative choroidal neovascularization secondary to angioid streaks using optical coherence tomography angiography.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Andreanos KD,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Koutsandrea C, Kymionis GD, Georgalas I, Ladas ID.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nl-NL"/>
        </w:rPr>
        <w:t>Eur J Ophthalmol. 2017 Aug 30;27(5):e140-e143.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IF 1,192</w:t>
      </w:r>
      <w:r>
        <w:rPr>
          <w:rStyle w:val="None"/>
          <w:rtl w:val="0"/>
          <w:lang w:val="nl-NL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1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"https://www.ncbi.nlm.nih.gov/pubmed/26949613"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Bimatoprost/timolol fixed combination (BTFC) in patients with primary open angle glaucoma or ocular hypertension in Greece.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TG, Kliafa VG, Asher KJ, Papaconstantinou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Int J Ophthalmol. 2016 Jan 18;9(1):69-75.</w:t>
      </w:r>
      <w:r>
        <w:rPr>
          <w:rStyle w:val="None"/>
          <w:rFonts w:ascii="Times New Roman" w:hAnsi="Times New Roman"/>
          <w:sz w:val="25"/>
          <w:szCs w:val="25"/>
          <w:rtl w:val="0"/>
          <w:lang w:val="en-US"/>
        </w:rPr>
        <w:t xml:space="preserve">IF 1,177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sz w:val="25"/>
          <w:szCs w:val="25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10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 Vision Loss after Endoscopic Sinus Surgery: A First Case Report Assessed by OCT and VEP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Anastasios Lavaris,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Tryfon Rotsos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 and Marilita M Moschos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J Clin Case Rep 6:806.b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Received date: April 13, 2016; Accepted date: June 16, 2016; Published date: June 21, 2016  IF 0,47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1"/>
          <w:rtl w:val="0"/>
        </w:rPr>
        <w:t>1</w:t>
      </w:r>
      <w:r>
        <w:rPr>
          <w:rStyle w:val="Hyperlink.1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"https://www.ncbi.nlm.nih.gov/pubmed/26904334"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Free-Floating Iris Pigmented Epithelial Cyst in the Anterior Chamber.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Bagikos G, Christou S, Symeonidis C, Papadaki T, Papaeuthimiou I, Miltsakakis 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 Med. 2016;2016:4731037. IF 0,78 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Hyperlink.1"/>
          <w:rtl w:val="0"/>
        </w:rPr>
        <w:t>1</w:t>
      </w:r>
      <w:r>
        <w:rPr>
          <w:rStyle w:val="Hyperlink.1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"https://www.ncbi.nlm.nih.gov/pubmed/25766782"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Chemokine CXCL-1: activity in the vitreous during proliferative vitreoretinopathy.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Androudi S, Georgalas I, Tzamalis A, Chalvatzis N,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Souliou E, Diza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>Clin Exp Immunol. 2015 Aug;181(2):338-42.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IF 3,148</w:t>
      </w:r>
      <w:r>
        <w:rPr>
          <w:rStyle w:val="None"/>
          <w:rtl w:val="0"/>
          <w:lang w:val="de-DE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tl w:val="0"/>
          <w:lang w:val="en-US"/>
        </w:rPr>
        <w:t>1</w:t>
      </w:r>
      <w:r>
        <w:rPr>
          <w:rStyle w:val="None"/>
          <w:rtl w:val="0"/>
          <w:lang w:val="en-US"/>
        </w:rPr>
        <w:t>3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"https://www.ncbi.nlm.nih.gov/pubmed/25192913"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Significant reduction of diabetic macular edema following intravitreal ranibizumab injection in the fellow eye.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fr-FR"/>
        </w:rPr>
        <w:t xml:space="preserve"> T, Symeonidis C, Triantafillopoulou I, Kanellopoulos S, Kouris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Int Ophthalmol. 2014 Dec;34(6):1271-4. Select item 24725542. </w:t>
      </w:r>
      <w:r>
        <w:rPr>
          <w:rStyle w:val="None"/>
          <w:rtl w:val="0"/>
          <w:lang w:val="en-US"/>
        </w:rPr>
        <w:t>IF 0,5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4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"https://www.ncbi.nlm.nih.gov/pubmed/24725542"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Comparison of interleukin-6 and matrix metalloproteinase expression in the subretinal fluid and the vitreous during proliferative vitreoretinopathy: correlations with extent, duration of RRD and PVR grade.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Papakonstantinou E, Androudi S, Georgalas I,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Karakiulakis G, Diza E,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Cytokine. 2014 Jun;67(2):71-6. IF 2,664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5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"https://www.ncbi.nlm.nih.gov/pubmed/24354433"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Chemokine CXCL-1 expression in the subretinal fluid during rhegmatogenous retinal detachment.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it-IT"/>
        </w:rPr>
        <w:t xml:space="preserve">Symeonidis C,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Moschos MM, Souliou E, Dimitrakos SA, Diza 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Ocul Immunol Inflamm. 2014 Dec;22(6):449-53. IF1,44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"https://www.ncbi.nlm.nih.gov/pubmed/23885166"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Macular hole formation in a patient with Irvine-Gass syndrome: coincidence or rare complication?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Moschos MM, Gatzioufas Z,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Symeonidis C, Song X, Seitz B.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2013;7:1437-9.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"https://www.ncbi.nlm.nih.gov/pubmed/22174098"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Unilateral vitelliform maculopathy: a comprehensive phenotype study with molecular screening of BEST1 and PRPH2.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Subash M,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Wright GA, Devery S, Holder GE, Robson AG, Pal B, Tufail A, Webster AR, Moore AT, Michaelides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Br J Ophthalmol. 2012 May;96(5):719-22.  IF 2,725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"https://www.ncbi.nlm.nih.gov/pubmed/21829407"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A case of a young asymptomatic woman with optic disc drusen and vasculitis.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Symeonidis C, Rana M, Deane JS.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Case Rep Ophthalmol. 2011 May;2(2):232-7. IF 0,32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"https://www.ncbi.nlm.nih.gov/pubmed/21786265"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Phacoemulsification in a patient with small pupil and a large iris cyst.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pt-PT"/>
        </w:rPr>
        <w:t xml:space="preserve"> T, Diagourtas A, Symeonidis C, Papaconstantinou D, Georgopoulos 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Eur J Ophthalmol. 2012 Mar-Apr;22(2):278-9. IF 0,912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20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"https://www.ncbi.nlm.nih.gov/pubmed/21733168"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Spontaneous traumatic macular hole closure in a 50-year-old woman: a case report.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fr-FR"/>
        </w:rPr>
        <w:t xml:space="preserve">Nasr MB, Symeonidis C, Tsinopoulos I,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J Med Case Rep. 2011 Jul 6;5:290. IF 0,79 Research gate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</w:rPr>
        <w:t>2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1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"https://www.ncbi.nlm.nih.gov/pubmed/21353595"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Interleukin-6 and the matrix metalloproteinase response in the vitreous during proliferative vitreoretinopathy.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Symeonidis C, Papakonstantinou E, Androudi S,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Diza E, Brazitikos P, Karakiulakis G, Dimitrakos SA.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Cytokine. 2011 May;54(2):212-7. </w:t>
      </w:r>
      <w:r>
        <w:rPr>
          <w:rStyle w:val="None"/>
          <w:rtl w:val="0"/>
          <w:lang w:val="en-US"/>
        </w:rPr>
        <w:t xml:space="preserve">IF 3,019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</w:rPr>
        <w:t>2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"https://www.ncbi.nlm.nih.gov/pubmed/21310910"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Contrast sensitivity outcomes in the ABC Trial: a randomized trial of bevacizumab for neovascular age-related macular degeneration.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Patel PJ, Chen FK, Da Cruz L, Rubin GS, Tufail A; ABC Trial Study Group.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18"/>
          <w:szCs w:val="18"/>
          <w:shd w:val="clear" w:color="auto" w:fill="ffffff"/>
        </w:rPr>
      </w:pP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instrText xml:space="preserve"> HYPERLINK "https://www.ncbi.nlm.nih.gov/pubmed/?term=Henderson%25252520L"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da-DK"/>
        </w:rPr>
        <w:t>Henderson L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instrText xml:space="preserve"> HYPERLINK "https://www.ncbi.nlm.nih.gov/pubmed/?term=Segun-Odumosu%25252520O"</w:instrTex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separate" w:fldLock="0"/>
      </w:r>
      <w:r>
        <w:rPr>
          <w:rStyle w:val="Hyperlink.5"/>
          <w:rFonts w:ascii="Times New Roman" w:hAnsi="Times New Roman"/>
          <w:sz w:val="18"/>
          <w:szCs w:val="18"/>
          <w:shd w:val="clear" w:color="auto" w:fill="ffffff"/>
          <w:rtl w:val="0"/>
          <w:lang w:val="es-ES_tradnl"/>
        </w:rPr>
        <w:t>Segun-Odumosu O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"https://www.ncbi.nlm.nih.gov/pubmed/?term=Egan%25252520C"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Egan C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"https://www.ncbi.nlm.nih.gov/pubmed/?term=Hykin%25252520P"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Hykin P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instrText xml:space="preserve"> HYPERLINK "https://www.ncbi.nlm.nih.gov/pubmed/?term=da%25252520Cruz%25252520L"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pt-PT"/>
        </w:rPr>
        <w:t>da Cruz L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"https://www.ncbi.nlm.nih.gov/pubmed/?term=Gregor%25252520Z"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Gregor Z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"https://www.ncbi.nlm.nih.gov/pubmed/?term=Dowler%25252520J"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Dowler J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"https://www.ncbi.nlm.nih.gov/pubmed/?term=Majid%25252520M"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Majid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"https://www.ncbi.nlm.nih.gov/pubmed/?term=Bailey%25252520C"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Bailey C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"https://www.ncbi.nlm.nih.gov/pubmed/?term=Mohamed%25252520Q"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Mohamed Q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"https://www.ncbi.nlm.nih.gov/pubmed/?term=Johnston%25252520R"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Johnston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instrText xml:space="preserve"> HYPERLINK "https://www.ncbi.nlm.nih.gov/pubmed/?term=Xing%25252520W"</w:instrTex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separate" w:fldLock="0"/>
      </w:r>
      <w:r>
        <w:rPr>
          <w:rStyle w:val="Hyperlink.8"/>
          <w:rFonts w:ascii="Times New Roman" w:hAnsi="Times New Roman"/>
          <w:sz w:val="18"/>
          <w:szCs w:val="18"/>
          <w:shd w:val="clear" w:color="auto" w:fill="ffffff"/>
          <w:rtl w:val="0"/>
          <w:lang w:val="nl-NL"/>
        </w:rPr>
        <w:t>Xing W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instrText xml:space="preserve"> HYPERLINK "https://www.ncbi.nlm.nih.gov/pubmed/?term=Seebaran%25252520R"</w:instrText>
      </w:r>
      <w:r>
        <w:rPr>
          <w:rStyle w:val="Hyperlink.4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a-DK"/>
        </w:rPr>
        <w:fldChar w:fldCharType="separate" w:fldLock="0"/>
      </w:r>
      <w:r>
        <w:rPr>
          <w:rStyle w:val="Hyperlink.4"/>
          <w:rFonts w:ascii="Times New Roman" w:hAnsi="Times New Roman"/>
          <w:sz w:val="18"/>
          <w:szCs w:val="18"/>
          <w:shd w:val="clear" w:color="auto" w:fill="ffffff"/>
          <w:rtl w:val="0"/>
          <w:lang w:val="da-DK"/>
        </w:rPr>
        <w:t>Seebaran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"https://www.ncbi.nlm.nih.gov/pubmed/?term=Bains%25252520J"</w:instrTex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Bains J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"https://www.ncbi.nlm.nih.gov/pubmed/?term=Waller%25252520K"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Waller K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"https://www.ncbi.nlm.nih.gov/pubmed/?term=Bibi%25252520K"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Bibi K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"https://www.ncbi.nlm.nih.gov/pubmed/?term=Ehrlich%25252520D"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Ehrlich D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"https://www.ncbi.nlm.nih.gov/pubmed/?term=Grigg%25252520C"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Grigg C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"https://www.ncbi.nlm.nih.gov/pubmed/?term=Rughani%25252520S"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Rughani S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"https://www.ncbi.nlm.nih.gov/pubmed/?term=Smith%25252520J"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Smith J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"https://www.ncbi.nlm.nih.gov/pubmed/?term=Shah%25252520S"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Shah S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instrText xml:space="preserve"> HYPERLINK "https://www.ncbi.nlm.nih.gov/pubmed/?term=Devani%25252520M"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it-IT"/>
        </w:rPr>
        <w:t>Devani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"https://www.ncbi.nlm.nih.gov/pubmed/?term=Brown%25252520G"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Brown G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"https://www.ncbi.nlm.nih.gov/pubmed/?term=Black%25252520R"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Black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"https://www.ncbi.nlm.nih.gov/pubmed/?term=Sivaprasad%25252520S"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Sivaprasad S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"https://www.ncbi.nlm.nih.gov/pubmed/?term=Browning%25252520A"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Browning A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"https://www.ncbi.nlm.nih.gov/pubmed/?term=D%25252527Souza%25252520Y"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D'Souza Y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"https://www.ncbi.nlm.nih.gov/pubmed/?term=Acharya%25252520N"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Acharya N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"https://www.ncbi.nlm.nih.gov/pubmed/?term=Kaines%25252520A"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Kaines A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"https://www.ncbi.nlm.nih.gov/pubmed/?term=Fraser-Bell%25252520S"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Fraser-Bell S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"https://www.ncbi.nlm.nih.gov/pubmed/?term=Niskopolou%25252520M"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Niskopolou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instrText xml:space="preserve"> HYPERLINK "https://www.ncbi.nlm.nih.gov/pubmed/?term=Horgan%25252520N"</w:instrText>
      </w:r>
      <w:r>
        <w:rPr>
          <w:rStyle w:val="Hyperlink.8"/>
          <w:rFonts w:ascii="Times New Roman" w:cs="Times New Roman" w:hAnsi="Times New Roman" w:eastAsia="Times New Roman"/>
          <w:sz w:val="18"/>
          <w:szCs w:val="18"/>
          <w:shd w:val="clear" w:color="auto" w:fill="ffffff"/>
          <w:lang w:val="nl-NL"/>
        </w:rPr>
        <w:fldChar w:fldCharType="separate" w:fldLock="0"/>
      </w:r>
      <w:r>
        <w:rPr>
          <w:rStyle w:val="Hyperlink.8"/>
          <w:rFonts w:ascii="Times New Roman" w:hAnsi="Times New Roman"/>
          <w:sz w:val="18"/>
          <w:szCs w:val="18"/>
          <w:shd w:val="clear" w:color="auto" w:fill="ffffff"/>
          <w:rtl w:val="0"/>
          <w:lang w:val="nl-NL"/>
        </w:rPr>
        <w:t>Horgan N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"https://www.ncbi.nlm.nih.gov/pubmed/?term=Chen%25252520FK"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Chen FK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"https://www.ncbi.nlm.nih.gov/pubmed/?term=Rahman%25252520W"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Rahman W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"https://www.ncbi.nlm.nih.gov/pubmed/?term=Gupta%25252520R"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Gupta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"https://www.ncbi.nlm.nih.gov/pubmed/?term=Hanson%25252520R"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Hanson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"https://www.ncbi.nlm.nih.gov/pubmed/?term=Aslam%25252520T"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Aslam T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instrText xml:space="preserve"> HYPERLINK "https://www.ncbi.nlm.nih.gov/pubmed/?term=Musadiq%25252520M"</w:instrTex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s-ES_tradnl"/>
        </w:rPr>
        <w:fldChar w:fldCharType="separate" w:fldLock="0"/>
      </w:r>
      <w:r>
        <w:rPr>
          <w:rStyle w:val="Hyperlink.5"/>
          <w:rFonts w:ascii="Times New Roman" w:hAnsi="Times New Roman"/>
          <w:sz w:val="18"/>
          <w:szCs w:val="18"/>
          <w:shd w:val="clear" w:color="auto" w:fill="ffffff"/>
          <w:rtl w:val="0"/>
          <w:lang w:val="es-ES_tradnl"/>
        </w:rPr>
        <w:t>Musadiq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instrText xml:space="preserve"> HYPERLINK "https://www.ncbi.nlm.nih.gov/pubmed/?term=Rotsos%25252520T"</w:instrText>
      </w:r>
      <w:r>
        <w:rPr>
          <w:rStyle w:val="Hyperlink.7"/>
          <w:rFonts w:ascii="Times New Roman" w:cs="Times New Roman" w:hAnsi="Times New Roman" w:eastAsia="Times New Roman"/>
          <w:sz w:val="18"/>
          <w:szCs w:val="18"/>
          <w:shd w:val="clear" w:color="auto" w:fill="ffffff"/>
          <w:lang w:val="pt-PT"/>
        </w:rPr>
        <w:fldChar w:fldCharType="separate" w:fldLock="0"/>
      </w:r>
      <w:r>
        <w:rPr>
          <w:rStyle w:val="Hyperlink.7"/>
          <w:rFonts w:ascii="Times New Roman" w:hAnsi="Times New Roman"/>
          <w:sz w:val="18"/>
          <w:szCs w:val="18"/>
          <w:shd w:val="clear" w:color="auto" w:fill="ffffff"/>
          <w:rtl w:val="0"/>
          <w:lang w:val="pt-PT"/>
        </w:rPr>
        <w:t>Rotsos T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"https://www.ncbi.nlm.nih.gov/pubmed/?term=Banerjee%25252520G"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Banerjee G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"https://www.ncbi.nlm.nih.gov/pubmed/?term=Sehmi%25252520K"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Sehmi K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"https://www.ncbi.nlm.nih.gov/pubmed/?term=Poynter%25252520R"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Poynter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"https://www.ncbi.nlm.nih.gov/pubmed/?term=Murphy%25252520A"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Murphy A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"https://www.ncbi.nlm.nih.gov/pubmed/?term=Duff%25252520N"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Duff N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begin" w:fldLock="0"/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instrText xml:space="preserve"> HYPERLINK "https://www.ncbi.nlm.nih.gov/pubmed/?term=Patton%25252520L"</w:instrText>
      </w:r>
      <w:r>
        <w:rPr>
          <w:rStyle w:val="Hyperlink.10"/>
          <w:rFonts w:ascii="Times New Roman" w:cs="Times New Roman" w:hAnsi="Times New Roman" w:eastAsia="Times New Roman"/>
          <w:sz w:val="18"/>
          <w:szCs w:val="18"/>
          <w:shd w:val="clear" w:color="auto" w:fill="ffffff"/>
          <w:lang w:val="it-IT"/>
        </w:rPr>
        <w:fldChar w:fldCharType="separate" w:fldLock="0"/>
      </w:r>
      <w:r>
        <w:rPr>
          <w:rStyle w:val="Hyperlink.10"/>
          <w:rFonts w:ascii="Times New Roman" w:hAnsi="Times New Roman"/>
          <w:sz w:val="18"/>
          <w:szCs w:val="18"/>
          <w:shd w:val="clear" w:color="auto" w:fill="ffffff"/>
          <w:rtl w:val="0"/>
          <w:lang w:val="it-IT"/>
        </w:rPr>
        <w:t>Patton L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"https://www.ncbi.nlm.nih.gov/pubmed/?term=Campbell%25252520M"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Campbell M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begin" w:fldLock="0"/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instrText xml:space="preserve"> HYPERLINK "https://www.ncbi.nlm.nih.gov/pubmed/?term=Holz%25252520F"</w:instrText>
      </w:r>
      <w:r>
        <w:rPr>
          <w:rStyle w:val="Hyperlink.9"/>
          <w:rFonts w:ascii="Times New Roman" w:cs="Times New Roman" w:hAnsi="Times New Roman" w:eastAsia="Times New Roman"/>
          <w:sz w:val="18"/>
          <w:szCs w:val="18"/>
          <w:shd w:val="clear" w:color="auto" w:fill="ffffff"/>
          <w:lang w:val="de-DE"/>
        </w:rPr>
        <w:fldChar w:fldCharType="separate" w:fldLock="0"/>
      </w:r>
      <w:r>
        <w:rPr>
          <w:rStyle w:val="Hyperlink.9"/>
          <w:rFonts w:ascii="Times New Roman" w:hAnsi="Times New Roman"/>
          <w:sz w:val="18"/>
          <w:szCs w:val="18"/>
          <w:shd w:val="clear" w:color="auto" w:fill="ffffff"/>
          <w:rtl w:val="0"/>
          <w:lang w:val="de-DE"/>
        </w:rPr>
        <w:t>Holz F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"https://www.ncbi.nlm.nih.gov/pubmed/?term=Guymer%25252520R"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Guymer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"https://www.ncbi.nlm.nih.gov/pubmed/?term=Fletcher%25252520A"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Fletcher A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3"/>
          <w:rFonts w:ascii="Times New Roman" w:cs="Times New Roman" w:hAnsi="Times New Roman" w:eastAsia="Times New Roman"/>
          <w:sz w:val="18"/>
          <w:szCs w:val="18"/>
          <w:shd w:val="clear" w:color="auto" w:fill="ffffff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18"/>
          <w:szCs w:val="18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, </w: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instrText xml:space="preserve"> HYPERLINK "https://www.ncbi.nlm.nih.gov/pubmed/?term=Wormald%25252520R"</w:instrText>
      </w:r>
      <w:r>
        <w:rPr>
          <w:rStyle w:val="Hyperlink.6"/>
          <w:rFonts w:ascii="Times New Roman" w:cs="Times New Roman" w:hAnsi="Times New Roman" w:eastAsia="Times New Roman"/>
          <w:sz w:val="18"/>
          <w:szCs w:val="18"/>
          <w:shd w:val="clear" w:color="auto" w:fill="ffffff"/>
          <w:lang w:val="en-US"/>
        </w:rPr>
        <w:fldChar w:fldCharType="separate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Wormald R</w:t>
      </w:r>
      <w:r>
        <w:rPr/>
        <w:fldChar w:fldCharType="end" w:fldLock="0"/>
      </w:r>
      <w:r>
        <w:rPr>
          <w:rStyle w:val="Hyperlink.6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Invest Ophthalmol Vis Sci. 2011 May 11;52(6):3089-93.</w:t>
      </w:r>
      <w:r>
        <w:rPr>
          <w:rStyle w:val="None"/>
          <w:rtl w:val="0"/>
          <w:lang w:val="en-US"/>
        </w:rPr>
        <w:t xml:space="preserve">IF 3,597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tl w:val="0"/>
          <w:lang w:val="en-US"/>
        </w:rPr>
        <w:t>2</w:t>
      </w:r>
      <w:r>
        <w:rPr>
          <w:rStyle w:val="None"/>
          <w:rtl w:val="0"/>
          <w:lang w:val="en-US"/>
        </w:rPr>
        <w:t>3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"https://www.ncbi.nlm.nih.gov/pubmed/21151333"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Initial clinical experience of ranibizumab therapy for neovascular age-related macular degeneration.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Patel PJ, Chen FK, Tufail 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  <w:lang w:val="nl-NL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nl-NL"/>
        </w:rPr>
        <w:t>Clin Ophthalmol. 2010 Nov 10;4:1271-5.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4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"https://www.ncbi.nlm.nih.gov/pubmed/20714365"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Choroidal neovascularization due to punctate inner choroidopathy: long-term follow-up and review of literature.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Brouzas D, Charakidas A,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Moschos MM, Loukianou H, Koutsandrea C, Ladas I, Baltatzis 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2010 Aug 9;4:871-6.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5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"https://www.ncbi.nlm.nih.gov/pubmed/20559680"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Electrodiagnostic and two-wavelength fundus autofluorescence imaging investigations in acute idiopathic maculopathy.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Day AC,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Holder GE, Tufail A, Robson AG.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Doc Ophthalmol. 2010 Oct;121(2):155-60. IF 2,187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6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"https://www.ncbi.nlm.nih.gov/pubmed/20558421"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Intravitreal anti-VEGF treatment in eyes with combined choroidal neovascularisation and vitreomacular traction syndrome.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Sagoo MS, daCruz L, Andrews R, Dowler J.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Br J Ophthalmol. 2010 Sep;94(9):1205-10  IF 2,934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7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"https://www.ncbi.nlm.nih.gov/pubmed/20538634"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Bevacizumab for neovascular age related macular degeneration (ABC Trial): multicentre randomised double masked study.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19"/>
          <w:szCs w:val="19"/>
          <w:shd w:val="clear" w:color="auto" w:fill="ffffff"/>
        </w:rPr>
      </w:pP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Tufail A, Patel PJ, Egan C, Hykin P, da Cruz L, Gregor Z, Dowler J, Majid MA, Bailey C, Mohamed Q, Johnston R, Bunce C, Xing W; ABC Trial Investigators.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1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instrText xml:space="preserve"> HYPERLINK "https://www.ncbi.nlm.nih.gov/pubmed/?term=Henderson%25252520L"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da-DK"/>
        </w:rPr>
        <w:t>Henderson L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instrText xml:space="preserve"> HYPERLINK "https://www.ncbi.nlm.nih.gov/pubmed/?term=Segun-Odumosu%25252520O"</w:instrTex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separate" w:fldLock="0"/>
      </w:r>
      <w:r>
        <w:rPr>
          <w:rStyle w:val="Hyperlink.13"/>
          <w:rFonts w:ascii="Times New Roman" w:hAnsi="Times New Roman"/>
          <w:sz w:val="19"/>
          <w:szCs w:val="19"/>
          <w:shd w:val="clear" w:color="auto" w:fill="ffffff"/>
          <w:rtl w:val="0"/>
          <w:lang w:val="es-ES_tradnl"/>
        </w:rPr>
        <w:t>Segun-Odumosu O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1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None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"https://www.ncbi.nlm.nih.gov/pubmed/?term=Egan%25252520C"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Egan C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"https://www.ncbi.nlm.nih.gov/pubmed/?term=Hykin%25252520P"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Hykin P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instrText xml:space="preserve"> HYPERLINK "https://www.ncbi.nlm.nih.gov/pubmed/?term=da%25252520Cruz%25252520L"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pt-PT"/>
        </w:rPr>
        <w:t>da Cruz L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"https://www.ncbi.nlm.nih.gov/pubmed/?term=Gregor%25252520Z"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Gregor Z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"https://www.ncbi.nlm.nih.gov/pubmed/?term=Dowler%25252520J"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Dowler J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"https://www.ncbi.nlm.nih.gov/pubmed/?term=Majid%25252520M"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Majid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"https://www.ncbi.nlm.nih.gov/pubmed/?term=Bailey%25252520C"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Bailey C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"https://www.ncbi.nlm.nih.gov/pubmed/?term=Mohamed%25252520Q"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Mohamed Q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"https://www.ncbi.nlm.nih.gov/pubmed/?term=Johnston%25252520R"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Johnston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begin" w:fldLock="0"/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instrText xml:space="preserve"> HYPERLINK "https://www.ncbi.nlm.nih.gov/pubmed/?term=Xing%25252520W"</w:instrTex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separate" w:fldLock="0"/>
      </w:r>
      <w:r>
        <w:rPr>
          <w:rStyle w:val="Hyperlink.16"/>
          <w:rFonts w:ascii="Times New Roman" w:hAnsi="Times New Roman"/>
          <w:sz w:val="19"/>
          <w:szCs w:val="19"/>
          <w:shd w:val="clear" w:color="auto" w:fill="ffffff"/>
          <w:rtl w:val="0"/>
          <w:lang w:val="nl-NL"/>
        </w:rPr>
        <w:t>Xing W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begin" w:fldLock="0"/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instrText xml:space="preserve"> HYPERLINK "https://www.ncbi.nlm.nih.gov/pubmed/?term=Seebaran%25252520R"</w:instrText>
      </w:r>
      <w:r>
        <w:rPr>
          <w:rStyle w:val="Hyperlink.12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a-DK"/>
        </w:rPr>
        <w:fldChar w:fldCharType="separate" w:fldLock="0"/>
      </w:r>
      <w:r>
        <w:rPr>
          <w:rStyle w:val="Hyperlink.12"/>
          <w:rFonts w:ascii="Times New Roman" w:hAnsi="Times New Roman"/>
          <w:sz w:val="19"/>
          <w:szCs w:val="19"/>
          <w:shd w:val="clear" w:color="auto" w:fill="ffffff"/>
          <w:rtl w:val="0"/>
          <w:lang w:val="da-DK"/>
        </w:rPr>
        <w:t>Seebaran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"https://www.ncbi.nlm.nih.gov/pubmed/?term=Bains%25252520J"</w:instrTex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1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Bains J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"https://www.ncbi.nlm.nih.gov/pubmed/?term=Waller%25252520K"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Waller K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"https://www.ncbi.nlm.nih.gov/pubmed/?term=Bibi%25252520K"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Bibi K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"https://www.ncbi.nlm.nih.gov/pubmed/?term=Ehrlich%25252520D"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Ehrlich D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"https://www.ncbi.nlm.nih.gov/pubmed/?term=Grigg%25252520C"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Grigg C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"https://www.ncbi.nlm.nih.gov/pubmed/?term=Rughani%25252520S"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Rughani S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"https://www.ncbi.nlm.nih.gov/pubmed/?term=Smith%25252520J"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Smith J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"https://www.ncbi.nlm.nih.gov/pubmed/?term=Shah%25252520S"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Shah S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instrText xml:space="preserve"> HYPERLINK "https://www.ncbi.nlm.nih.gov/pubmed/?term=Devani%25252520M"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Devani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"https://www.ncbi.nlm.nih.gov/pubmed/?term=Brown%25252520G"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Brown G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"https://www.ncbi.nlm.nih.gov/pubmed/?term=Black%25252520R"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Black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"https://www.ncbi.nlm.nih.gov/pubmed/?term=Sivaprasad%25252520S"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Sivaprasad S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"https://www.ncbi.nlm.nih.gov/pubmed/?term=Browning%25252520A"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Browning A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"https://www.ncbi.nlm.nih.gov/pubmed/?term=D%25252527Souza%25252520Y"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D'Souza Y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"https://www.ncbi.nlm.nih.gov/pubmed/?term=Acharya%25252520N"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Acharya N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"https://www.ncbi.nlm.nih.gov/pubmed/?term=Kaines%25252520A"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Kaines A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"https://www.ncbi.nlm.nih.gov/pubmed/?term=Fraser-Bell%25252520S"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Fraser-Bell S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"https://www.ncbi.nlm.nih.gov/pubmed/?term=Niskopolou%25252520M"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Niskopolou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begin" w:fldLock="0"/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instrText xml:space="preserve"> HYPERLINK "https://www.ncbi.nlm.nih.gov/pubmed/?term=Horgan%25252520N"</w:instrText>
      </w:r>
      <w:r>
        <w:rPr>
          <w:rStyle w:val="Hyperlink.16"/>
          <w:rFonts w:ascii="Times New Roman" w:cs="Times New Roman" w:hAnsi="Times New Roman" w:eastAsia="Times New Roman"/>
          <w:sz w:val="19"/>
          <w:szCs w:val="19"/>
          <w:shd w:val="clear" w:color="auto" w:fill="ffffff"/>
          <w:lang w:val="nl-NL"/>
        </w:rPr>
        <w:fldChar w:fldCharType="separate" w:fldLock="0"/>
      </w:r>
      <w:r>
        <w:rPr>
          <w:rStyle w:val="Hyperlink.16"/>
          <w:rFonts w:ascii="Times New Roman" w:hAnsi="Times New Roman"/>
          <w:sz w:val="19"/>
          <w:szCs w:val="19"/>
          <w:shd w:val="clear" w:color="auto" w:fill="ffffff"/>
          <w:rtl w:val="0"/>
          <w:lang w:val="nl-NL"/>
        </w:rPr>
        <w:t>Horgan N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"https://www.ncbi.nlm.nih.gov/pubmed/?term=Chen%25252520FK"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Chen FK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"https://www.ncbi.nlm.nih.gov/pubmed/?term=Rahman%25252520W"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Rahman W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"https://www.ncbi.nlm.nih.gov/pubmed/?term=Gupta%25252520R"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Gupta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"https://www.ncbi.nlm.nih.gov/pubmed/?term=Hanson%25252520R"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Hanson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"https://www.ncbi.nlm.nih.gov/pubmed/?term=Aslam%25252520T"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Aslam T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begin" w:fldLock="0"/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instrText xml:space="preserve"> HYPERLINK "https://www.ncbi.nlm.nih.gov/pubmed/?term=Musadiq%25252520M"</w:instrText>
      </w:r>
      <w:r>
        <w:rPr>
          <w:rStyle w:val="Hyperlink.13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s-ES_tradnl"/>
        </w:rPr>
        <w:fldChar w:fldCharType="separate" w:fldLock="0"/>
      </w:r>
      <w:r>
        <w:rPr>
          <w:rStyle w:val="Hyperlink.13"/>
          <w:rFonts w:ascii="Times New Roman" w:hAnsi="Times New Roman"/>
          <w:sz w:val="19"/>
          <w:szCs w:val="19"/>
          <w:shd w:val="clear" w:color="auto" w:fill="ffffff"/>
          <w:rtl w:val="0"/>
          <w:lang w:val="es-ES_tradnl"/>
        </w:rPr>
        <w:t>Musadiq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begin" w:fldLock="0"/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instrText xml:space="preserve"> HYPERLINK "https://www.ncbi.nlm.nih.gov/pubmed/?term=Rotsos%25252520T"</w:instrText>
      </w:r>
      <w:r>
        <w:rPr>
          <w:rStyle w:val="Hyperlink.15"/>
          <w:rFonts w:ascii="Times New Roman" w:cs="Times New Roman" w:hAnsi="Times New Roman" w:eastAsia="Times New Roman"/>
          <w:sz w:val="19"/>
          <w:szCs w:val="19"/>
          <w:shd w:val="clear" w:color="auto" w:fill="ffffff"/>
          <w:lang w:val="pt-PT"/>
        </w:rPr>
        <w:fldChar w:fldCharType="separate" w:fldLock="0"/>
      </w:r>
      <w:r>
        <w:rPr>
          <w:rStyle w:val="Hyperlink.15"/>
          <w:rFonts w:ascii="Times New Roman" w:hAnsi="Times New Roman"/>
          <w:sz w:val="19"/>
          <w:szCs w:val="19"/>
          <w:shd w:val="clear" w:color="auto" w:fill="ffffff"/>
          <w:rtl w:val="0"/>
          <w:lang w:val="pt-PT"/>
        </w:rPr>
        <w:t>Rotsos T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"https://www.ncbi.nlm.nih.gov/pubmed/?term=Banerjee%25252520G"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Banerjee G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"https://www.ncbi.nlm.nih.gov/pubmed/?term=Ikeji%25252520F"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Ikeji F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"https://www.ncbi.nlm.nih.gov/pubmed/?term=Richardson%25252520M"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Richardson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"https://www.ncbi.nlm.nih.gov/pubmed/?term=Sehmi%25252520K"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Sehmi K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"https://www.ncbi.nlm.nih.gov/pubmed/?term=Poynter%25252520R"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Poynter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"https://www.ncbi.nlm.nih.gov/pubmed/?term=Murphy%25252520A"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Murphy A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"https://www.ncbi.nlm.nih.gov/pubmed/?term=Duff%25252520N"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Duff N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begin" w:fldLock="0"/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instrText xml:space="preserve"> HYPERLINK "https://www.ncbi.nlm.nih.gov/pubmed/?term=Patton%25252520L"</w:instrText>
      </w:r>
      <w:r>
        <w:rPr>
          <w:rStyle w:val="Hyperlink.18"/>
          <w:rFonts w:ascii="Times New Roman" w:cs="Times New Roman" w:hAnsi="Times New Roman" w:eastAsia="Times New Roman"/>
          <w:sz w:val="19"/>
          <w:szCs w:val="19"/>
          <w:shd w:val="clear" w:color="auto" w:fill="ffffff"/>
          <w:lang w:val="it-IT"/>
        </w:rPr>
        <w:fldChar w:fldCharType="separate" w:fldLock="0"/>
      </w:r>
      <w:r>
        <w:rPr>
          <w:rStyle w:val="Hyperlink.18"/>
          <w:rFonts w:ascii="Times New Roman" w:hAnsi="Times New Roman"/>
          <w:sz w:val="19"/>
          <w:szCs w:val="19"/>
          <w:shd w:val="clear" w:color="auto" w:fill="ffffff"/>
          <w:rtl w:val="0"/>
          <w:lang w:val="it-IT"/>
        </w:rPr>
        <w:t>Patton L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"https://www.ncbi.nlm.nih.gov/pubmed/?term=Campbell%25252520M"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Campbell M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begin" w:fldLock="0"/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instrText xml:space="preserve"> HYPERLINK "https://www.ncbi.nlm.nih.gov/pubmed/?term=Holz%25252520F"</w:instrText>
      </w:r>
      <w:r>
        <w:rPr>
          <w:rStyle w:val="Hyperlink.17"/>
          <w:rFonts w:ascii="Times New Roman" w:cs="Times New Roman" w:hAnsi="Times New Roman" w:eastAsia="Times New Roman"/>
          <w:sz w:val="19"/>
          <w:szCs w:val="19"/>
          <w:shd w:val="clear" w:color="auto" w:fill="ffffff"/>
          <w:lang w:val="de-DE"/>
        </w:rPr>
        <w:fldChar w:fldCharType="separate" w:fldLock="0"/>
      </w:r>
      <w:r>
        <w:rPr>
          <w:rStyle w:val="Hyperlink.17"/>
          <w:rFonts w:ascii="Times New Roman" w:hAnsi="Times New Roman"/>
          <w:sz w:val="19"/>
          <w:szCs w:val="19"/>
          <w:shd w:val="clear" w:color="auto" w:fill="ffffff"/>
          <w:rtl w:val="0"/>
          <w:lang w:val="de-DE"/>
        </w:rPr>
        <w:t>Holz F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"https://www.ncbi.nlm.nih.gov/pubmed/?term=Guymer%25252520R"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Guymer R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"https://www.ncbi.nlm.nih.gov/pubmed/?term=Fletcher%25252520A"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Fletcher A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"https://www.ncbi.nlm.nih.gov/pubmed/?term=Bunce%25252520C"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Bunce C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begin" w:fldLock="0"/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instrText xml:space="preserve"> HYPERLINK "https://www.ncbi.nlm.nih.gov/pubmed/?term=Patel%25252520P"</w:instrText>
      </w:r>
      <w:r>
        <w:rPr>
          <w:rStyle w:val="Hyperlink.14"/>
          <w:rFonts w:ascii="Times New Roman" w:cs="Times New Roman" w:hAnsi="Times New Roman" w:eastAsia="Times New Roman"/>
          <w:sz w:val="19"/>
          <w:szCs w:val="19"/>
          <w:shd w:val="clear" w:color="auto" w:fill="ffffff"/>
          <w:lang w:val="en-US"/>
        </w:rPr>
        <w:fldChar w:fldCharType="separate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>Patel P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begin" w:fldLock="0"/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instrText xml:space="preserve"> HYPERLINK "https://www.ncbi.nlm.nih.gov/pubmed/?term=Tufail%25252520A"</w:instrText>
      </w:r>
      <w:r>
        <w:rPr>
          <w:rStyle w:val="Hyperlink.11"/>
          <w:rFonts w:ascii="Times New Roman" w:cs="Times New Roman" w:hAnsi="Times New Roman" w:eastAsia="Times New Roman"/>
          <w:sz w:val="19"/>
          <w:szCs w:val="19"/>
          <w:shd w:val="clear" w:color="auto" w:fill="ffffff"/>
          <w:lang w:val="fr-FR"/>
        </w:rPr>
        <w:fldChar w:fldCharType="separate" w:fldLock="0"/>
      </w:r>
      <w:r>
        <w:rPr>
          <w:rStyle w:val="Hyperlink.11"/>
          <w:rFonts w:ascii="Times New Roman" w:hAnsi="Times New Roman"/>
          <w:sz w:val="19"/>
          <w:szCs w:val="19"/>
          <w:shd w:val="clear" w:color="auto" w:fill="ffffff"/>
          <w:rtl w:val="0"/>
          <w:lang w:val="fr-FR"/>
        </w:rPr>
        <w:t>Tufail A</w:t>
      </w:r>
      <w:r>
        <w:rPr/>
        <w:fldChar w:fldCharType="end" w:fldLock="0"/>
      </w:r>
      <w:r>
        <w:rPr>
          <w:rStyle w:val="Hyperlink.14"/>
          <w:rFonts w:ascii="Times New Roman" w:hAnsi="Times New Roman"/>
          <w:sz w:val="19"/>
          <w:szCs w:val="19"/>
          <w:shd w:val="clear" w:color="auto" w:fill="ffffff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BMJ. 2010 Jun 9;340:c2459. </w:t>
      </w:r>
      <w:r>
        <w:rPr>
          <w:rStyle w:val="None"/>
          <w:rtl w:val="0"/>
          <w:lang w:val="en-US"/>
        </w:rPr>
        <w:t xml:space="preserve">IF 1,583 SCI Journal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8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"https://www.ncbi.nlm.nih.gov/pubmed/19684866"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A comparison of manifest refractions, cycloplegic refractions and retinoscopy on the RMA-3000 autorefractometer in children aged 3 to 15 years.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 xml:space="preserve"> T, Grigoriou D, Kokkolaki A, Manios 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2009;3:429-31. Epub 2009 Aug 3.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2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>9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"https://www.ncbi.nlm.nih.gov/pubmed/19668445"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Cystoid macular edema.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TG, Moschos MM.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Clin Ophthalmol. 2008 Dec;2(4):919-30.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u w:color="2121cc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30</w:t>
      </w:r>
      <w:r>
        <w:rPr>
          <w:rStyle w:val="None"/>
          <w:rFonts w:ascii="Times New Roman" w:hAnsi="Times New Roman"/>
          <w:sz w:val="25"/>
          <w:szCs w:val="25"/>
          <w:u w:color="2121cc"/>
          <w:shd w:val="clear" w:color="auto" w:fill="ffffff"/>
          <w:rtl w:val="0"/>
          <w:lang w:val="en-US"/>
        </w:rPr>
        <w:t xml:space="preserve">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"https://www.ncbi.nlm.nih.gov/pubmed/19165517"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Tilted disc syndrome: an OCT and mfERG study.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it-IT"/>
        </w:rPr>
        <w:t xml:space="preserve">Moschos MM, Triglianos A, </w:t>
      </w:r>
      <w:r>
        <w:rPr>
          <w:rStyle w:val="None"/>
          <w:rFonts w:ascii="Times New Roman" w:hAnsi="Times New Roman"/>
          <w:b w:val="1"/>
          <w:bCs w:val="1"/>
          <w:sz w:val="25"/>
          <w:szCs w:val="25"/>
          <w:shd w:val="clear" w:color="auto" w:fill="ffffff"/>
          <w:rtl w:val="0"/>
          <w:lang w:val="en-US"/>
        </w:rPr>
        <w:t>Rotsos</w:t>
      </w: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de-DE"/>
        </w:rPr>
        <w:t xml:space="preserve"> T, Papadimitriou S, Margetis I, Minogiannis P, Moschos 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Doc Ophthalmol. 2009 Aug;119(1):23-8.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  <w:r>
        <w:rPr>
          <w:rStyle w:val="None"/>
          <w:rFonts w:ascii="Times New Roman" w:hAnsi="Times New Roman"/>
          <w:sz w:val="25"/>
          <w:szCs w:val="25"/>
          <w:shd w:val="clear" w:color="auto" w:fill="ffffff"/>
          <w:rtl w:val="0"/>
          <w:lang w:val="en-US"/>
        </w:rPr>
        <w:t>IF 1,837 SCI Journal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sz w:val="25"/>
          <w:szCs w:val="25"/>
          <w:shd w:val="clear" w:color="auto" w:fill="ffffff"/>
        </w:rPr>
      </w:pPr>
    </w:p>
    <w:p>
      <w:pPr>
        <w:pStyle w:val="Βασικό"/>
        <w:spacing w:line="360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ΠΛΗΡΕΙΣ ΔΗΜΟΣΙΕΥΣΕΙΣ ΑΝΑΚΟΙΝΩΣΕΩΝ  ΣΕ ΔΙΕΘΝΗ ΣΥΝΕΔΡΙΑ </w:t>
      </w:r>
      <w:r>
        <w:rPr>
          <w:rStyle w:val="None"/>
          <w:b w:val="1"/>
          <w:bCs w:val="1"/>
          <w:rtl w:val="0"/>
          <w:lang w:val="en-US"/>
        </w:rPr>
        <w:t>(PROCEEDINGS)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one"/>
          <w:rtl w:val="0"/>
          <w:lang w:val="en-US"/>
        </w:rPr>
        <w:t xml:space="preserve">. Objective Analysis of Macular Function in HIV-positive children without Infectious Retinitis. An OCT and multifocal ERG study. MM Moschos, M.Apostolopoulos , CH Minogiannis,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S Papadimitriou, M Moschos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tl w:val="0"/>
          <w:lang w:val="en-US"/>
        </w:rPr>
        <w:t>Doc. Ophthal. 2007 115:32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tl w:val="0"/>
        </w:rPr>
        <w:t>3</w:t>
      </w:r>
      <w:r>
        <w:rPr>
          <w:rtl w:val="0"/>
          <w:lang w:val="en-US"/>
        </w:rPr>
        <w:t>2</w:t>
      </w:r>
      <w:r>
        <w:rPr>
          <w:rStyle w:val="None"/>
          <w:rtl w:val="0"/>
          <w:lang w:val="en-US"/>
        </w:rPr>
        <w:t xml:space="preserve">. Objective Analysis of Retinal Damage in HIV-positive children without Retinitis using Optical Coherence Tomography. MM Moschos, S Papadimitriou,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E Psimenidou, C Koutsandrea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>Invest Ophthalmology  2007 341-</w:t>
      </w:r>
      <w:r>
        <w:rPr>
          <w:rStyle w:val="None"/>
          <w:rtl w:val="0"/>
          <w:lang w:val="en-US"/>
        </w:rPr>
        <w:t>Β</w:t>
      </w:r>
      <w:r>
        <w:rPr>
          <w:rStyle w:val="None"/>
          <w:rtl w:val="0"/>
          <w:lang w:val="en-US"/>
        </w:rPr>
        <w:t>482 :17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  <w:rPr>
          <w:rStyle w:val="None"/>
        </w:rPr>
      </w:pP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. Multifocal-ERG and OCT findings of congenital tilted disc syndrome.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 xml:space="preserve"> MM Moschos, </w:t>
      </w:r>
      <w:r>
        <w:rPr>
          <w:rStyle w:val="None"/>
          <w:b w:val="1"/>
          <w:bCs w:val="1"/>
          <w:rtl w:val="0"/>
          <w:lang w:val="en-US"/>
        </w:rPr>
        <w:t>T. Rotsos</w:t>
      </w:r>
      <w:r>
        <w:rPr>
          <w:rStyle w:val="None"/>
          <w:rtl w:val="0"/>
          <w:lang w:val="en-US"/>
        </w:rPr>
        <w:t xml:space="preserve"> , CH Minogiannis, S Papadimitriou ,M.Apostolopoulos , M Moschos 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  <w:r>
        <w:rPr>
          <w:rStyle w:val="None"/>
          <w:rtl w:val="0"/>
          <w:lang w:val="en-US"/>
        </w:rPr>
        <w:t>Invest Ophthalmology  2008 341-D776 :1867</w:t>
      </w:r>
    </w:p>
    <w:p>
      <w:pPr>
        <w:pStyle w:val="Βασικ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spacing w:before="60"/>
      </w:pPr>
    </w:p>
    <w:p>
      <w:pPr>
        <w:pStyle w:val="Βασικό"/>
        <w:spacing w:before="60"/>
      </w:pPr>
      <w:r>
        <w:rPr>
          <w:rStyle w:val="None"/>
          <w:rtl w:val="0"/>
          <w:lang w:val="en-US"/>
        </w:rPr>
        <w:t>3</w:t>
      </w:r>
      <w:r>
        <w:rPr>
          <w:rStyle w:val="None"/>
          <w:rtl w:val="0"/>
          <w:lang w:val="en-US"/>
        </w:rPr>
        <w:t>4</w:t>
      </w:r>
      <w:r>
        <w:rPr>
          <w:rStyle w:val="None"/>
          <w:rtl w:val="0"/>
          <w:lang w:val="en-US"/>
        </w:rPr>
        <w:t xml:space="preserve">. Objective Analysis of Macular Function in HIV-positive children without Infectious Retinitis. An OCT and multifocal ERG study. MM Moschos, M.Apostolopoulos , CH Minogiannis, </w:t>
      </w:r>
      <w:r>
        <w:rPr>
          <w:rStyle w:val="None"/>
          <w:b w:val="1"/>
          <w:bCs w:val="1"/>
          <w:rtl w:val="0"/>
          <w:lang w:val="en-US"/>
        </w:rPr>
        <w:t>T. Rotsos,</w:t>
      </w:r>
      <w:r>
        <w:rPr>
          <w:rStyle w:val="None"/>
          <w:rtl w:val="0"/>
          <w:lang w:val="en-US"/>
        </w:rPr>
        <w:t xml:space="preserve"> S Papadimitriou, M Moschos </w:t>
      </w:r>
    </w:p>
    <w:p>
      <w:pPr>
        <w:pStyle w:val="Βασικό"/>
        <w:spacing w:before="60"/>
      </w:pPr>
      <w:r>
        <w:rPr>
          <w:rStyle w:val="None"/>
          <w:rtl w:val="0"/>
          <w:lang w:val="en-US"/>
        </w:rPr>
        <w:t>Doc. Ophthal. 2007 115:32</w:t>
      </w:r>
    </w:p>
    <w:p>
      <w:pPr>
        <w:pStyle w:val="Βασικό"/>
        <w:spacing w:before="60"/>
      </w:pPr>
    </w:p>
    <w:p>
      <w:pPr>
        <w:pStyle w:val="Βασικό"/>
        <w:spacing w:before="60"/>
      </w:pPr>
    </w:p>
    <w:p>
      <w:pPr>
        <w:pStyle w:val="Βασικό"/>
        <w:spacing w:before="60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6"/>
        </w:tabs>
      </w:pPr>
      <w:r>
        <w:rPr>
          <w:rStyle w:val="None"/>
          <w:rFonts w:ascii="Times New Roman" w:cs="Times New Roman" w:hAnsi="Times New Roman" w:eastAsia="Times New Roman"/>
          <w:outline w:val="0"/>
          <w:color w:val="202020"/>
          <w:sz w:val="24"/>
          <w:szCs w:val="24"/>
          <w:u w:color="202020"/>
          <w:shd w:val="clear" w:color="auto" w:fill="ffffff"/>
          <w14:textFill>
            <w14:solidFill>
              <w14:srgbClr w14:val="20202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58" w:right="1797" w:bottom="1162" w:left="179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tabs>
        <w:tab w:val="right" w:pos="8286"/>
        <w:tab w:val="clear" w:pos="8306"/>
      </w:tabs>
    </w:pPr>
    <w:r>
      <w:tab/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hd w:val="clear" w:color="auto" w:fill="ffffff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sz w:val="25"/>
      <w:szCs w:val="25"/>
      <w:u w:color="0000ff"/>
      <w:shd w:val="clear" w:color="auto" w:fill="ffff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sz w:val="18"/>
      <w:szCs w:val="18"/>
      <w:shd w:val="clear" w:color="auto" w:fill="ffffff"/>
      <w:lang w:val="fr-FR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sz w:val="18"/>
      <w:szCs w:val="18"/>
      <w:shd w:val="clear" w:color="auto" w:fill="ffffff"/>
      <w:lang w:val="da-DK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sz w:val="18"/>
      <w:szCs w:val="18"/>
      <w:shd w:val="clear" w:color="auto" w:fill="ffffff"/>
      <w:lang w:val="es-ES_tradnl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sz w:val="18"/>
      <w:szCs w:val="18"/>
      <w:shd w:val="clear" w:color="auto" w:fill="ffffff"/>
      <w:lang w:val="en-US"/>
    </w:rPr>
  </w:style>
  <w:style w:type="character" w:styleId="Hyperlink.7">
    <w:name w:val="Hyperlink.7"/>
    <w:basedOn w:val="None"/>
    <w:next w:val="Hyperlink.7"/>
    <w:rPr>
      <w:rFonts w:ascii="Times New Roman" w:cs="Times New Roman" w:hAnsi="Times New Roman" w:eastAsia="Times New Roman"/>
      <w:sz w:val="18"/>
      <w:szCs w:val="18"/>
      <w:shd w:val="clear" w:color="auto" w:fill="ffffff"/>
      <w:lang w:val="pt-PT"/>
    </w:rPr>
  </w:style>
  <w:style w:type="character" w:styleId="Hyperlink.8">
    <w:name w:val="Hyperlink.8"/>
    <w:basedOn w:val="None"/>
    <w:next w:val="Hyperlink.8"/>
    <w:rPr>
      <w:rFonts w:ascii="Times New Roman" w:cs="Times New Roman" w:hAnsi="Times New Roman" w:eastAsia="Times New Roman"/>
      <w:sz w:val="18"/>
      <w:szCs w:val="18"/>
      <w:shd w:val="clear" w:color="auto" w:fill="ffffff"/>
      <w:lang w:val="nl-NL"/>
    </w:rPr>
  </w:style>
  <w:style w:type="character" w:styleId="Hyperlink.9">
    <w:name w:val="Hyperlink.9"/>
    <w:basedOn w:val="None"/>
    <w:next w:val="Hyperlink.9"/>
    <w:rPr>
      <w:rFonts w:ascii="Times New Roman" w:cs="Times New Roman" w:hAnsi="Times New Roman" w:eastAsia="Times New Roman"/>
      <w:sz w:val="18"/>
      <w:szCs w:val="18"/>
      <w:shd w:val="clear" w:color="auto" w:fill="ffffff"/>
      <w:lang w:val="de-DE"/>
    </w:rPr>
  </w:style>
  <w:style w:type="character" w:styleId="Hyperlink.10">
    <w:name w:val="Hyperlink.10"/>
    <w:basedOn w:val="None"/>
    <w:next w:val="Hyperlink.10"/>
    <w:rPr>
      <w:rFonts w:ascii="Times New Roman" w:cs="Times New Roman" w:hAnsi="Times New Roman" w:eastAsia="Times New Roman"/>
      <w:sz w:val="18"/>
      <w:szCs w:val="18"/>
      <w:shd w:val="clear" w:color="auto" w:fill="ffffff"/>
      <w:lang w:val="it-IT"/>
    </w:rPr>
  </w:style>
  <w:style w:type="character" w:styleId="Hyperlink.11">
    <w:name w:val="Hyperlink.11"/>
    <w:basedOn w:val="None"/>
    <w:next w:val="Hyperlink.11"/>
    <w:rPr>
      <w:rFonts w:ascii="Times New Roman" w:cs="Times New Roman" w:hAnsi="Times New Roman" w:eastAsia="Times New Roman"/>
      <w:sz w:val="19"/>
      <w:szCs w:val="19"/>
      <w:shd w:val="clear" w:color="auto" w:fill="ffffff"/>
      <w:lang w:val="fr-FR"/>
    </w:rPr>
  </w:style>
  <w:style w:type="character" w:styleId="Hyperlink.12">
    <w:name w:val="Hyperlink.12"/>
    <w:basedOn w:val="None"/>
    <w:next w:val="Hyperlink.12"/>
    <w:rPr>
      <w:rFonts w:ascii="Times New Roman" w:cs="Times New Roman" w:hAnsi="Times New Roman" w:eastAsia="Times New Roman"/>
      <w:sz w:val="19"/>
      <w:szCs w:val="19"/>
      <w:shd w:val="clear" w:color="auto" w:fill="ffffff"/>
      <w:lang w:val="da-DK"/>
    </w:rPr>
  </w:style>
  <w:style w:type="character" w:styleId="Hyperlink.13">
    <w:name w:val="Hyperlink.13"/>
    <w:basedOn w:val="None"/>
    <w:next w:val="Hyperlink.13"/>
    <w:rPr>
      <w:rFonts w:ascii="Times New Roman" w:cs="Times New Roman" w:hAnsi="Times New Roman" w:eastAsia="Times New Roman"/>
      <w:sz w:val="19"/>
      <w:szCs w:val="19"/>
      <w:shd w:val="clear" w:color="auto" w:fill="ffffff"/>
      <w:lang w:val="es-ES_tradnl"/>
    </w:rPr>
  </w:style>
  <w:style w:type="character" w:styleId="Hyperlink.14">
    <w:name w:val="Hyperlink.14"/>
    <w:basedOn w:val="None"/>
    <w:next w:val="Hyperlink.14"/>
    <w:rPr>
      <w:rFonts w:ascii="Times New Roman" w:cs="Times New Roman" w:hAnsi="Times New Roman" w:eastAsia="Times New Roman"/>
      <w:sz w:val="19"/>
      <w:szCs w:val="19"/>
      <w:shd w:val="clear" w:color="auto" w:fill="ffffff"/>
      <w:lang w:val="en-US"/>
    </w:rPr>
  </w:style>
  <w:style w:type="character" w:styleId="Hyperlink.15">
    <w:name w:val="Hyperlink.15"/>
    <w:basedOn w:val="None"/>
    <w:next w:val="Hyperlink.15"/>
    <w:rPr>
      <w:rFonts w:ascii="Times New Roman" w:cs="Times New Roman" w:hAnsi="Times New Roman" w:eastAsia="Times New Roman"/>
      <w:sz w:val="19"/>
      <w:szCs w:val="19"/>
      <w:shd w:val="clear" w:color="auto" w:fill="ffffff"/>
      <w:lang w:val="pt-PT"/>
    </w:rPr>
  </w:style>
  <w:style w:type="character" w:styleId="Hyperlink.16">
    <w:name w:val="Hyperlink.16"/>
    <w:basedOn w:val="None"/>
    <w:next w:val="Hyperlink.16"/>
    <w:rPr>
      <w:rFonts w:ascii="Times New Roman" w:cs="Times New Roman" w:hAnsi="Times New Roman" w:eastAsia="Times New Roman"/>
      <w:sz w:val="19"/>
      <w:szCs w:val="19"/>
      <w:shd w:val="clear" w:color="auto" w:fill="ffffff"/>
      <w:lang w:val="nl-NL"/>
    </w:rPr>
  </w:style>
  <w:style w:type="character" w:styleId="Hyperlink.17">
    <w:name w:val="Hyperlink.17"/>
    <w:basedOn w:val="None"/>
    <w:next w:val="Hyperlink.17"/>
    <w:rPr>
      <w:rFonts w:ascii="Times New Roman" w:cs="Times New Roman" w:hAnsi="Times New Roman" w:eastAsia="Times New Roman"/>
      <w:sz w:val="19"/>
      <w:szCs w:val="19"/>
      <w:shd w:val="clear" w:color="auto" w:fill="ffffff"/>
      <w:lang w:val="de-DE"/>
    </w:rPr>
  </w:style>
  <w:style w:type="character" w:styleId="Hyperlink.18">
    <w:name w:val="Hyperlink.18"/>
    <w:basedOn w:val="None"/>
    <w:next w:val="Hyperlink.18"/>
    <w:rPr>
      <w:rFonts w:ascii="Times New Roman" w:cs="Times New Roman" w:hAnsi="Times New Roman" w:eastAsia="Times New Roman"/>
      <w:sz w:val="19"/>
      <w:szCs w:val="19"/>
      <w:shd w:val="clear" w:color="auto" w:fill="ffff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